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2F" w:rsidRPr="0053422F" w:rsidRDefault="0053422F" w:rsidP="0053422F">
      <w:pPr>
        <w:widowControl/>
        <w:shd w:val="clear" w:color="auto" w:fill="FFFFFF"/>
        <w:snapToGrid w:val="0"/>
        <w:jc w:val="center"/>
        <w:rPr>
          <w:rFonts w:asciiTheme="majorHAnsi" w:eastAsia="微軟正黑體" w:hAnsiTheme="majorHAnsi" w:cs="新細明體" w:hint="eastAsia"/>
          <w:b/>
          <w:bCs/>
          <w:color w:val="0099FF"/>
          <w:kern w:val="0"/>
          <w:sz w:val="48"/>
          <w:szCs w:val="48"/>
        </w:rPr>
      </w:pPr>
      <w:bookmarkStart w:id="0" w:name="_GoBack"/>
      <w:r w:rsidRPr="0053422F">
        <w:rPr>
          <w:rFonts w:asciiTheme="majorHAnsi" w:eastAsia="微軟正黑體" w:hAnsiTheme="majorHAnsi" w:cs="新細明體"/>
          <w:b/>
          <w:bCs/>
          <w:color w:val="0099FF"/>
          <w:kern w:val="0"/>
          <w:sz w:val="48"/>
          <w:szCs w:val="48"/>
        </w:rPr>
        <w:t>「智慧城市應用探索館」移動商機</w:t>
      </w:r>
      <w:r w:rsidRPr="0053422F">
        <w:rPr>
          <w:rFonts w:asciiTheme="majorHAnsi" w:eastAsia="微軟正黑體" w:hAnsiTheme="majorHAnsi" w:cs="新細明體" w:hint="eastAsia"/>
          <w:b/>
          <w:bCs/>
          <w:color w:val="0099FF"/>
          <w:kern w:val="0"/>
          <w:sz w:val="48"/>
          <w:szCs w:val="48"/>
        </w:rPr>
        <w:t>－</w:t>
      </w:r>
    </w:p>
    <w:bookmarkEnd w:id="0"/>
    <w:p w:rsidR="0053422F" w:rsidRPr="0053422F" w:rsidRDefault="0053422F" w:rsidP="0053422F">
      <w:pPr>
        <w:widowControl/>
        <w:shd w:val="clear" w:color="auto" w:fill="FFFFFF"/>
        <w:snapToGrid w:val="0"/>
        <w:jc w:val="center"/>
        <w:rPr>
          <w:rFonts w:asciiTheme="majorHAnsi" w:eastAsia="微軟正黑體" w:hAnsiTheme="majorHAnsi" w:cs="新細明體"/>
          <w:b/>
          <w:bCs/>
          <w:color w:val="0099FF"/>
          <w:kern w:val="0"/>
          <w:sz w:val="32"/>
          <w:szCs w:val="32"/>
        </w:rPr>
      </w:pPr>
      <w:r w:rsidRPr="0053422F">
        <w:rPr>
          <w:rFonts w:asciiTheme="majorHAnsi" w:eastAsia="微軟正黑體" w:hAnsiTheme="majorHAnsi" w:cs="新細明體"/>
          <w:b/>
          <w:bCs/>
          <w:color w:val="0099FF"/>
          <w:kern w:val="0"/>
          <w:sz w:val="32"/>
          <w:szCs w:val="32"/>
        </w:rPr>
        <w:t>用科技連接智慧生活</w:t>
      </w:r>
      <w:r w:rsidRPr="0053422F">
        <w:rPr>
          <w:rFonts w:asciiTheme="majorHAnsi" w:eastAsia="微軟正黑體" w:hAnsiTheme="majorHAnsi" w:cs="新細明體" w:hint="eastAsia"/>
          <w:b/>
          <w:bCs/>
          <w:color w:val="0099FF"/>
          <w:kern w:val="0"/>
          <w:sz w:val="32"/>
          <w:szCs w:val="32"/>
        </w:rPr>
        <w:t>．</w:t>
      </w:r>
      <w:r w:rsidRPr="0053422F">
        <w:rPr>
          <w:rFonts w:asciiTheme="majorHAnsi" w:eastAsia="微軟正黑體" w:hAnsiTheme="majorHAnsi" w:cs="新細明體"/>
          <w:b/>
          <w:bCs/>
          <w:color w:val="0099FF"/>
          <w:kern w:val="0"/>
          <w:sz w:val="32"/>
          <w:szCs w:val="32"/>
        </w:rPr>
        <w:t>串連你我生活所需</w:t>
      </w:r>
    </w:p>
    <w:p w:rsidR="0053422F" w:rsidRPr="0053422F" w:rsidRDefault="0053422F" w:rsidP="0053422F">
      <w:pPr>
        <w:widowControl/>
        <w:shd w:val="clear" w:color="auto" w:fill="FFFFFF"/>
        <w:snapToGrid w:val="0"/>
        <w:rPr>
          <w:rFonts w:asciiTheme="majorHAnsi" w:eastAsia="微軟正黑體" w:hAnsiTheme="majorHAnsi" w:cs="新細明體"/>
          <w:color w:val="000000"/>
          <w:kern w:val="0"/>
          <w:sz w:val="21"/>
          <w:szCs w:val="21"/>
        </w:rPr>
      </w:pPr>
      <w:r w:rsidRPr="0053422F">
        <w:rPr>
          <w:rFonts w:asciiTheme="majorHAnsi" w:eastAsia="微軟正黑體" w:hAnsiTheme="majorHAnsi" w:cs="新細明體"/>
          <w:color w:val="000000"/>
          <w:kern w:val="0"/>
          <w:sz w:val="21"/>
          <w:szCs w:val="21"/>
        </w:rPr>
        <w:t>活動日期：</w:t>
      </w:r>
      <w:r w:rsidRPr="0053422F">
        <w:rPr>
          <w:rFonts w:asciiTheme="majorHAnsi" w:eastAsia="微軟正黑體" w:hAnsiTheme="majorHAnsi" w:cs="新細明體"/>
          <w:color w:val="000000"/>
          <w:kern w:val="0"/>
          <w:sz w:val="21"/>
          <w:szCs w:val="21"/>
        </w:rPr>
        <w:t>2015/01/20 10:00 ~ 2015/01/23 18:00</w:t>
      </w:r>
    </w:p>
    <w:p w:rsidR="0053422F" w:rsidRDefault="0053422F" w:rsidP="0053422F">
      <w:pPr>
        <w:widowControl/>
        <w:shd w:val="clear" w:color="auto" w:fill="FFFFFF"/>
        <w:snapToGrid w:val="0"/>
        <w:rPr>
          <w:rFonts w:asciiTheme="majorHAnsi" w:eastAsia="微軟正黑體" w:hAnsiTheme="majorHAnsi" w:cs="新細明體" w:hint="eastAsia"/>
          <w:color w:val="000000"/>
          <w:kern w:val="0"/>
          <w:sz w:val="21"/>
          <w:szCs w:val="21"/>
        </w:rPr>
      </w:pPr>
      <w:r w:rsidRPr="0053422F">
        <w:rPr>
          <w:rFonts w:asciiTheme="majorHAnsi" w:eastAsia="微軟正黑體" w:hAnsiTheme="majorHAnsi" w:cs="新細明體"/>
          <w:color w:val="000000"/>
          <w:kern w:val="0"/>
          <w:sz w:val="21"/>
          <w:szCs w:val="21"/>
        </w:rPr>
        <w:t>活動地點：南港展覽館</w:t>
      </w:r>
      <w:r w:rsidRPr="0053422F">
        <w:rPr>
          <w:rFonts w:asciiTheme="majorHAnsi" w:eastAsia="微軟正黑體" w:hAnsiTheme="majorHAnsi" w:cs="新細明體"/>
          <w:color w:val="000000"/>
          <w:kern w:val="0"/>
          <w:sz w:val="21"/>
          <w:szCs w:val="21"/>
        </w:rPr>
        <w:t>J</w:t>
      </w:r>
      <w:r w:rsidRPr="0053422F">
        <w:rPr>
          <w:rFonts w:asciiTheme="majorHAnsi" w:eastAsia="微軟正黑體" w:hAnsiTheme="majorHAnsi" w:cs="新細明體"/>
          <w:color w:val="000000"/>
          <w:kern w:val="0"/>
          <w:sz w:val="21"/>
          <w:szCs w:val="21"/>
        </w:rPr>
        <w:t>區</w:t>
      </w:r>
      <w:r w:rsidRPr="0053422F">
        <w:rPr>
          <w:rFonts w:asciiTheme="majorHAnsi" w:eastAsia="微軟正黑體" w:hAnsiTheme="majorHAnsi" w:cs="新細明體"/>
          <w:color w:val="000000"/>
          <w:kern w:val="0"/>
          <w:sz w:val="21"/>
          <w:szCs w:val="21"/>
        </w:rPr>
        <w:t>405</w:t>
      </w:r>
    </w:p>
    <w:p w:rsidR="00485F1A" w:rsidRDefault="00485F1A" w:rsidP="00485F1A">
      <w:pPr>
        <w:widowControl/>
        <w:shd w:val="clear" w:color="auto" w:fill="FFFFFF"/>
        <w:snapToGrid w:val="0"/>
        <w:rPr>
          <w:rFonts w:asciiTheme="majorHAnsi" w:eastAsia="微軟正黑體" w:hAnsiTheme="majorHAnsi" w:cs="新細明體" w:hint="eastAsia"/>
          <w:color w:val="000000"/>
          <w:kern w:val="0"/>
          <w:sz w:val="21"/>
          <w:szCs w:val="21"/>
        </w:rPr>
      </w:pPr>
      <w:r>
        <w:rPr>
          <w:rFonts w:asciiTheme="majorHAnsi" w:eastAsia="微軟正黑體" w:hAnsiTheme="majorHAnsi" w:cs="新細明體" w:hint="eastAsia"/>
          <w:color w:val="000000"/>
          <w:kern w:val="0"/>
          <w:sz w:val="21"/>
          <w:szCs w:val="21"/>
        </w:rPr>
        <w:t>主辦單位：</w:t>
      </w:r>
      <w:r w:rsidRPr="00485F1A">
        <w:rPr>
          <w:rFonts w:asciiTheme="majorHAnsi" w:eastAsia="微軟正黑體" w:hAnsiTheme="majorHAnsi" w:cs="新細明體" w:hint="eastAsia"/>
          <w:color w:val="000000"/>
          <w:kern w:val="0"/>
          <w:sz w:val="21"/>
          <w:szCs w:val="21"/>
        </w:rPr>
        <w:t>經濟部加速行動寬頻服務及產業發展推動小組</w:t>
      </w:r>
      <w:r>
        <w:rPr>
          <w:rFonts w:asciiTheme="majorHAnsi" w:eastAsia="微軟正黑體" w:hAnsiTheme="majorHAnsi" w:cs="新細明體" w:hint="eastAsia"/>
          <w:color w:val="000000"/>
          <w:kern w:val="0"/>
          <w:sz w:val="21"/>
          <w:szCs w:val="21"/>
        </w:rPr>
        <w:t>、</w:t>
      </w:r>
      <w:r w:rsidRPr="00485F1A">
        <w:rPr>
          <w:rFonts w:asciiTheme="majorHAnsi" w:eastAsia="微軟正黑體" w:hAnsiTheme="majorHAnsi" w:cs="新細明體" w:hint="eastAsia"/>
          <w:color w:val="000000"/>
          <w:kern w:val="0"/>
          <w:sz w:val="21"/>
          <w:szCs w:val="21"/>
        </w:rPr>
        <w:t>經濟部通訊產業發展推動小組</w:t>
      </w:r>
    </w:p>
    <w:p w:rsidR="00485F1A" w:rsidRPr="0053422F" w:rsidRDefault="00485F1A" w:rsidP="0053422F">
      <w:pPr>
        <w:widowControl/>
        <w:shd w:val="clear" w:color="auto" w:fill="FFFFFF"/>
        <w:snapToGrid w:val="0"/>
        <w:rPr>
          <w:rFonts w:asciiTheme="majorHAnsi" w:eastAsia="微軟正黑體" w:hAnsiTheme="majorHAnsi" w:cs="新細明體"/>
          <w:color w:val="000000"/>
          <w:kern w:val="0"/>
          <w:sz w:val="21"/>
          <w:szCs w:val="21"/>
        </w:rPr>
      </w:pPr>
    </w:p>
    <w:p w:rsidR="006720BF" w:rsidRDefault="006720BF" w:rsidP="0053422F">
      <w:pPr>
        <w:widowControl/>
        <w:shd w:val="clear" w:color="auto" w:fill="FFFFFF"/>
        <w:snapToGrid w:val="0"/>
        <w:rPr>
          <w:rFonts w:asciiTheme="majorHAnsi" w:eastAsia="微軟正黑體" w:hAnsiTheme="majorHAnsi" w:cs="新細明體" w:hint="eastAsia"/>
          <w:color w:val="000000"/>
          <w:spacing w:val="15"/>
          <w:kern w:val="0"/>
          <w:szCs w:val="24"/>
        </w:rPr>
      </w:pPr>
      <w:r w:rsidRPr="006720BF">
        <w:rPr>
          <w:rFonts w:asciiTheme="majorHAnsi" w:eastAsia="微軟正黑體" w:hAnsiTheme="majorHAnsi" w:cs="新細明體"/>
          <w:color w:val="000000"/>
          <w:spacing w:val="15"/>
          <w:kern w:val="0"/>
          <w:szCs w:val="24"/>
        </w:rPr>
        <w:drawing>
          <wp:inline distT="0" distB="0" distL="0" distR="0" wp14:anchorId="352C277F" wp14:editId="79F3F1A0">
            <wp:extent cx="5472430" cy="2981968"/>
            <wp:effectExtent l="0" t="0" r="0" b="8890"/>
            <wp:docPr id="112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430" cy="298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3422F" w:rsidRPr="0053422F" w:rsidRDefault="0053422F" w:rsidP="0053422F">
      <w:pPr>
        <w:widowControl/>
        <w:shd w:val="clear" w:color="auto" w:fill="FFFFFF"/>
        <w:snapToGrid w:val="0"/>
        <w:rPr>
          <w:rFonts w:asciiTheme="majorHAnsi" w:eastAsia="微軟正黑體" w:hAnsiTheme="majorHAnsi" w:cs="新細明體"/>
          <w:color w:val="000000"/>
          <w:spacing w:val="15"/>
          <w:kern w:val="0"/>
          <w:sz w:val="21"/>
          <w:szCs w:val="21"/>
        </w:rPr>
      </w:pPr>
      <w:r w:rsidRPr="0053422F">
        <w:rPr>
          <w:rFonts w:asciiTheme="majorHAnsi" w:eastAsia="微軟正黑體" w:hAnsiTheme="majorHAnsi" w:cs="新細明體"/>
          <w:color w:val="000000"/>
          <w:spacing w:val="15"/>
          <w:kern w:val="0"/>
          <w:szCs w:val="24"/>
        </w:rPr>
        <w:t>今年主題是「以智慧科技打造幸福城市」為核心概念，透過展館情境體驗</w:t>
      </w:r>
      <w:r w:rsidRPr="0053422F">
        <w:rPr>
          <w:rFonts w:asciiTheme="majorHAnsi" w:eastAsia="微軟正黑體" w:hAnsiTheme="majorHAnsi" w:cs="新細明體"/>
          <w:color w:val="000000"/>
          <w:spacing w:val="15"/>
          <w:kern w:val="0"/>
          <w:szCs w:val="24"/>
        </w:rPr>
        <w:t>4G</w:t>
      </w:r>
      <w:r w:rsidRPr="0053422F">
        <w:rPr>
          <w:rFonts w:asciiTheme="majorHAnsi" w:eastAsia="微軟正黑體" w:hAnsiTheme="majorHAnsi" w:cs="新細明體"/>
          <w:color w:val="000000"/>
          <w:spacing w:val="15"/>
          <w:kern w:val="0"/>
          <w:szCs w:val="24"/>
        </w:rPr>
        <w:t>魅力</w:t>
      </w:r>
      <w:proofErr w:type="gramStart"/>
      <w:r w:rsidRPr="0053422F">
        <w:rPr>
          <w:rFonts w:asciiTheme="majorHAnsi" w:eastAsia="微軟正黑體" w:hAnsiTheme="majorHAnsi" w:cs="新細明體"/>
          <w:color w:val="000000"/>
          <w:spacing w:val="15"/>
          <w:kern w:val="0"/>
          <w:szCs w:val="24"/>
        </w:rPr>
        <w:t>與物聯網</w:t>
      </w:r>
      <w:proofErr w:type="gramEnd"/>
      <w:r w:rsidRPr="0053422F">
        <w:rPr>
          <w:rFonts w:asciiTheme="majorHAnsi" w:eastAsia="微軟正黑體" w:hAnsiTheme="majorHAnsi" w:cs="新細明體"/>
          <w:color w:val="000000"/>
          <w:spacing w:val="15"/>
          <w:kern w:val="0"/>
          <w:szCs w:val="24"/>
        </w:rPr>
        <w:t>所帶來的智慧便捷科技，</w:t>
      </w:r>
      <w:proofErr w:type="gramStart"/>
      <w:r w:rsidRPr="0053422F">
        <w:rPr>
          <w:rFonts w:asciiTheme="majorHAnsi" w:eastAsia="微軟正黑體" w:hAnsiTheme="majorHAnsi" w:cs="新細明體"/>
          <w:color w:val="000000"/>
          <w:spacing w:val="15"/>
          <w:kern w:val="0"/>
          <w:szCs w:val="24"/>
        </w:rPr>
        <w:t>擘</w:t>
      </w:r>
      <w:proofErr w:type="gramEnd"/>
      <w:r w:rsidRPr="0053422F">
        <w:rPr>
          <w:rFonts w:asciiTheme="majorHAnsi" w:eastAsia="微軟正黑體" w:hAnsiTheme="majorHAnsi" w:cs="新細明體"/>
          <w:color w:val="000000"/>
          <w:spacing w:val="15"/>
          <w:kern w:val="0"/>
          <w:szCs w:val="24"/>
        </w:rPr>
        <w:t>劃出智慧城市生活新樣貌。現場展示區分「智慧健康」、「智慧交通」、「智慧物流」、「智慧安全」、「智慧金融」、「智慧育樂」六大創新應用展區，展現以科技連接智慧生活，帶領民眾體驗即將到來的科技生活。</w:t>
      </w:r>
    </w:p>
    <w:p w:rsidR="0053422F" w:rsidRPr="0053422F" w:rsidRDefault="0053422F" w:rsidP="0053422F">
      <w:pPr>
        <w:widowControl/>
        <w:shd w:val="clear" w:color="auto" w:fill="FFFFFF"/>
        <w:snapToGrid w:val="0"/>
        <w:rPr>
          <w:rFonts w:asciiTheme="majorHAnsi" w:eastAsia="微軟正黑體" w:hAnsiTheme="majorHAnsi" w:cs="新細明體"/>
          <w:color w:val="000000"/>
          <w:spacing w:val="15"/>
          <w:kern w:val="0"/>
          <w:sz w:val="21"/>
          <w:szCs w:val="21"/>
        </w:rPr>
      </w:pPr>
      <w:r w:rsidRPr="0053422F">
        <w:rPr>
          <w:rFonts w:asciiTheme="majorHAnsi" w:eastAsia="微軟正黑體" w:hAnsiTheme="majorHAnsi" w:cs="新細明體"/>
          <w:noProof/>
          <w:color w:val="000000"/>
          <w:spacing w:val="15"/>
          <w:kern w:val="0"/>
          <w:szCs w:val="24"/>
        </w:rPr>
        <w:lastRenderedPageBreak/>
        <w:drawing>
          <wp:inline distT="0" distB="0" distL="0" distR="0" wp14:anchorId="1D40E7F2" wp14:editId="5E0EF07A">
            <wp:extent cx="5552014" cy="3122763"/>
            <wp:effectExtent l="0" t="0" r="0" b="1905"/>
            <wp:docPr id="4" name="圖片 4" descr="Photo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201" cy="312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22F">
        <w:rPr>
          <w:rFonts w:asciiTheme="majorHAnsi" w:eastAsia="微軟正黑體" w:hAnsiTheme="majorHAnsi" w:cs="新細明體"/>
          <w:color w:val="000000"/>
          <w:spacing w:val="15"/>
          <w:kern w:val="0"/>
          <w:szCs w:val="24"/>
        </w:rPr>
        <w:br/>
      </w:r>
      <w:r w:rsidRPr="0053422F">
        <w:rPr>
          <w:rFonts w:asciiTheme="majorHAnsi" w:eastAsia="微軟正黑體" w:hAnsiTheme="majorHAnsi" w:cs="新細明體"/>
          <w:color w:val="000000"/>
          <w:spacing w:val="15"/>
          <w:kern w:val="0"/>
          <w:szCs w:val="24"/>
        </w:rPr>
        <w:t>圖</w:t>
      </w:r>
      <w:r w:rsidRPr="0053422F">
        <w:rPr>
          <w:rFonts w:asciiTheme="majorHAnsi" w:eastAsia="微軟正黑體" w:hAnsiTheme="majorHAnsi" w:cs="新細明體"/>
          <w:color w:val="000000"/>
          <w:spacing w:val="15"/>
          <w:kern w:val="0"/>
          <w:szCs w:val="24"/>
        </w:rPr>
        <w:t xml:space="preserve">1. </w:t>
      </w:r>
      <w:r w:rsidRPr="0053422F">
        <w:rPr>
          <w:rFonts w:asciiTheme="majorHAnsi" w:eastAsia="微軟正黑體" w:hAnsiTheme="majorHAnsi" w:cs="新細明體"/>
          <w:color w:val="000000"/>
          <w:spacing w:val="15"/>
          <w:kern w:val="0"/>
          <w:szCs w:val="24"/>
        </w:rPr>
        <w:t>台灣大車隊可用聲音辨識叫車或查詢</w:t>
      </w:r>
      <w:proofErr w:type="gramStart"/>
      <w:r w:rsidRPr="0053422F">
        <w:rPr>
          <w:rFonts w:asciiTheme="majorHAnsi" w:eastAsia="微軟正黑體" w:hAnsiTheme="majorHAnsi" w:cs="新細明體"/>
          <w:color w:val="000000"/>
          <w:spacing w:val="15"/>
          <w:kern w:val="0"/>
          <w:szCs w:val="24"/>
        </w:rPr>
        <w:t>空排點</w:t>
      </w:r>
      <w:proofErr w:type="gramEnd"/>
      <w:r w:rsidRPr="0053422F">
        <w:rPr>
          <w:rFonts w:asciiTheme="majorHAnsi" w:eastAsia="微軟正黑體" w:hAnsiTheme="majorHAnsi" w:cs="新細明體"/>
          <w:color w:val="000000"/>
          <w:spacing w:val="15"/>
          <w:kern w:val="0"/>
          <w:szCs w:val="24"/>
        </w:rPr>
        <w:t>範圍及附近</w:t>
      </w:r>
      <w:proofErr w:type="gramStart"/>
      <w:r w:rsidRPr="0053422F">
        <w:rPr>
          <w:rFonts w:asciiTheme="majorHAnsi" w:eastAsia="微軟正黑體" w:hAnsiTheme="majorHAnsi" w:cs="新細明體"/>
          <w:color w:val="000000"/>
          <w:spacing w:val="15"/>
          <w:kern w:val="0"/>
          <w:szCs w:val="24"/>
        </w:rPr>
        <w:t>空排點</w:t>
      </w:r>
      <w:proofErr w:type="gramEnd"/>
      <w:r w:rsidRPr="0053422F">
        <w:rPr>
          <w:rFonts w:asciiTheme="majorHAnsi" w:eastAsia="微軟正黑體" w:hAnsiTheme="majorHAnsi" w:cs="新細明體"/>
          <w:color w:val="000000"/>
          <w:spacing w:val="15"/>
          <w:kern w:val="0"/>
          <w:szCs w:val="24"/>
        </w:rPr>
        <w:t>排班數量，並結合導航功能，精</w:t>
      </w:r>
      <w:proofErr w:type="gramStart"/>
      <w:r w:rsidRPr="0053422F">
        <w:rPr>
          <w:rFonts w:asciiTheme="majorHAnsi" w:eastAsia="微軟正黑體" w:hAnsiTheme="majorHAnsi" w:cs="新細明體"/>
          <w:color w:val="000000"/>
          <w:spacing w:val="15"/>
          <w:kern w:val="0"/>
          <w:szCs w:val="24"/>
        </w:rPr>
        <w:t>準</w:t>
      </w:r>
      <w:proofErr w:type="gramEnd"/>
      <w:r w:rsidRPr="0053422F">
        <w:rPr>
          <w:rFonts w:asciiTheme="majorHAnsi" w:eastAsia="微軟正黑體" w:hAnsiTheme="majorHAnsi" w:cs="新細明體"/>
          <w:color w:val="000000"/>
          <w:spacing w:val="15"/>
          <w:kern w:val="0"/>
          <w:szCs w:val="24"/>
        </w:rPr>
        <w:t>導引司機至乘客所在地載客及前往之目的地，協助司機運用科技迅速載客，縮短</w:t>
      </w:r>
      <w:proofErr w:type="gramStart"/>
      <w:r w:rsidRPr="0053422F">
        <w:rPr>
          <w:rFonts w:asciiTheme="majorHAnsi" w:eastAsia="微軟正黑體" w:hAnsiTheme="majorHAnsi" w:cs="新細明體"/>
          <w:color w:val="000000"/>
          <w:spacing w:val="15"/>
          <w:kern w:val="0"/>
          <w:szCs w:val="24"/>
        </w:rPr>
        <w:t>巡街空轉排碳</w:t>
      </w:r>
      <w:proofErr w:type="gramEnd"/>
      <w:r w:rsidRPr="0053422F">
        <w:rPr>
          <w:rFonts w:asciiTheme="majorHAnsi" w:eastAsia="微軟正黑體" w:hAnsiTheme="majorHAnsi" w:cs="新細明體"/>
          <w:color w:val="000000"/>
          <w:spacing w:val="15"/>
          <w:kern w:val="0"/>
          <w:szCs w:val="24"/>
        </w:rPr>
        <w:t>的時間。</w:t>
      </w:r>
      <w:r w:rsidRPr="0053422F">
        <w:rPr>
          <w:rFonts w:asciiTheme="majorHAnsi" w:eastAsia="微軟正黑體" w:hAnsiTheme="majorHAnsi" w:cs="新細明體"/>
          <w:color w:val="000000"/>
          <w:spacing w:val="15"/>
          <w:kern w:val="0"/>
          <w:szCs w:val="24"/>
        </w:rPr>
        <w:br/>
      </w:r>
      <w:r w:rsidRPr="0053422F">
        <w:rPr>
          <w:rFonts w:asciiTheme="majorHAnsi" w:eastAsia="微軟正黑體" w:hAnsiTheme="majorHAnsi" w:cs="新細明體"/>
          <w:color w:val="000000"/>
          <w:spacing w:val="15"/>
          <w:kern w:val="0"/>
          <w:szCs w:val="24"/>
        </w:rPr>
        <w:br/>
      </w:r>
      <w:r w:rsidRPr="0053422F">
        <w:rPr>
          <w:rFonts w:asciiTheme="majorHAnsi" w:eastAsia="微軟正黑體" w:hAnsiTheme="majorHAnsi" w:cs="新細明體"/>
          <w:noProof/>
          <w:color w:val="000000"/>
          <w:spacing w:val="15"/>
          <w:kern w:val="0"/>
          <w:szCs w:val="24"/>
        </w:rPr>
        <w:lastRenderedPageBreak/>
        <w:drawing>
          <wp:inline distT="0" distB="0" distL="0" distR="0" wp14:anchorId="7E2C4FAF" wp14:editId="04F9E4D7">
            <wp:extent cx="2648585" cy="4718685"/>
            <wp:effectExtent l="0" t="0" r="0" b="5715"/>
            <wp:docPr id="3" name="圖片 3" descr="Photo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471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22F">
        <w:rPr>
          <w:rFonts w:asciiTheme="majorHAnsi" w:eastAsia="微軟正黑體" w:hAnsiTheme="majorHAnsi" w:cs="新細明體"/>
          <w:color w:val="000000"/>
          <w:spacing w:val="15"/>
          <w:kern w:val="0"/>
          <w:szCs w:val="24"/>
        </w:rPr>
        <w:br/>
      </w:r>
      <w:r w:rsidRPr="0053422F">
        <w:rPr>
          <w:rFonts w:asciiTheme="majorHAnsi" w:eastAsia="微軟正黑體" w:hAnsiTheme="majorHAnsi" w:cs="新細明體"/>
          <w:color w:val="000000"/>
          <w:spacing w:val="15"/>
          <w:kern w:val="0"/>
          <w:szCs w:val="24"/>
        </w:rPr>
        <w:t>圖</w:t>
      </w:r>
      <w:r w:rsidRPr="0053422F">
        <w:rPr>
          <w:rFonts w:asciiTheme="majorHAnsi" w:eastAsia="微軟正黑體" w:hAnsiTheme="majorHAnsi" w:cs="新細明體"/>
          <w:color w:val="000000"/>
          <w:spacing w:val="15"/>
          <w:kern w:val="0"/>
          <w:szCs w:val="24"/>
        </w:rPr>
        <w:t xml:space="preserve">2. </w:t>
      </w:r>
      <w:r w:rsidRPr="0053422F">
        <w:rPr>
          <w:rFonts w:asciiTheme="majorHAnsi" w:eastAsia="微軟正黑體" w:hAnsiTheme="majorHAnsi" w:cs="新細明體"/>
          <w:color w:val="000000"/>
          <w:spacing w:val="15"/>
          <w:kern w:val="0"/>
          <w:szCs w:val="24"/>
        </w:rPr>
        <w:t>鼎泰豐智慧型手機</w:t>
      </w:r>
      <w:r w:rsidRPr="0053422F">
        <w:rPr>
          <w:rFonts w:asciiTheme="majorHAnsi" w:eastAsia="微軟正黑體" w:hAnsiTheme="majorHAnsi" w:cs="新細明體"/>
          <w:color w:val="000000"/>
          <w:spacing w:val="15"/>
          <w:kern w:val="0"/>
          <w:szCs w:val="24"/>
        </w:rPr>
        <w:t>APP</w:t>
      </w:r>
      <w:r w:rsidRPr="0053422F">
        <w:rPr>
          <w:rFonts w:asciiTheme="majorHAnsi" w:eastAsia="微軟正黑體" w:hAnsiTheme="majorHAnsi" w:cs="新細明體"/>
          <w:color w:val="000000"/>
          <w:spacing w:val="15"/>
          <w:kern w:val="0"/>
          <w:szCs w:val="24"/>
        </w:rPr>
        <w:t>叫人軟體，將會在號碼快到時，通知客人回現場準備，而服務人員則根據現場狀況，</w:t>
      </w:r>
      <w:proofErr w:type="gramStart"/>
      <w:r w:rsidRPr="0053422F">
        <w:rPr>
          <w:rFonts w:asciiTheme="majorHAnsi" w:eastAsia="微軟正黑體" w:hAnsiTheme="majorHAnsi" w:cs="新細明體"/>
          <w:color w:val="000000"/>
          <w:spacing w:val="15"/>
          <w:kern w:val="0"/>
          <w:szCs w:val="24"/>
        </w:rPr>
        <w:t>對照取號順序</w:t>
      </w:r>
      <w:proofErr w:type="gramEnd"/>
      <w:r w:rsidRPr="0053422F">
        <w:rPr>
          <w:rFonts w:asciiTheme="majorHAnsi" w:eastAsia="微軟正黑體" w:hAnsiTheme="majorHAnsi" w:cs="新細明體"/>
          <w:color w:val="000000"/>
          <w:spacing w:val="15"/>
          <w:kern w:val="0"/>
          <w:szCs w:val="24"/>
        </w:rPr>
        <w:t>以及號碼分組類別幫客人安排最合適的座位。</w:t>
      </w:r>
      <w:r w:rsidRPr="0053422F">
        <w:rPr>
          <w:rFonts w:asciiTheme="majorHAnsi" w:eastAsia="微軟正黑體" w:hAnsiTheme="majorHAnsi" w:cs="新細明體"/>
          <w:color w:val="000000"/>
          <w:spacing w:val="15"/>
          <w:kern w:val="0"/>
          <w:szCs w:val="24"/>
        </w:rPr>
        <w:br/>
      </w:r>
      <w:r w:rsidRPr="0053422F">
        <w:rPr>
          <w:rFonts w:asciiTheme="majorHAnsi" w:eastAsia="微軟正黑體" w:hAnsiTheme="majorHAnsi" w:cs="新細明體"/>
          <w:color w:val="000000"/>
          <w:spacing w:val="15"/>
          <w:kern w:val="0"/>
          <w:szCs w:val="24"/>
        </w:rPr>
        <w:br/>
      </w:r>
      <w:r w:rsidRPr="0053422F">
        <w:rPr>
          <w:rFonts w:asciiTheme="majorHAnsi" w:eastAsia="微軟正黑體" w:hAnsiTheme="majorHAnsi" w:cs="新細明體"/>
          <w:noProof/>
          <w:color w:val="000000"/>
          <w:spacing w:val="15"/>
          <w:kern w:val="0"/>
          <w:szCs w:val="24"/>
        </w:rPr>
        <w:lastRenderedPageBreak/>
        <w:drawing>
          <wp:inline distT="0" distB="0" distL="0" distR="0" wp14:anchorId="01CCADC1" wp14:editId="24326795">
            <wp:extent cx="2648585" cy="4718685"/>
            <wp:effectExtent l="0" t="0" r="0" b="5715"/>
            <wp:docPr id="2" name="圖片 2" descr="Photo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471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22F">
        <w:rPr>
          <w:rFonts w:asciiTheme="majorHAnsi" w:eastAsia="微軟正黑體" w:hAnsiTheme="majorHAnsi" w:cs="新細明體"/>
          <w:color w:val="000000"/>
          <w:spacing w:val="15"/>
          <w:kern w:val="0"/>
          <w:szCs w:val="24"/>
        </w:rPr>
        <w:br/>
      </w:r>
      <w:r w:rsidRPr="0053422F">
        <w:rPr>
          <w:rFonts w:asciiTheme="majorHAnsi" w:eastAsia="微軟正黑體" w:hAnsiTheme="majorHAnsi" w:cs="新細明體"/>
          <w:color w:val="000000"/>
          <w:spacing w:val="15"/>
          <w:kern w:val="0"/>
          <w:szCs w:val="24"/>
        </w:rPr>
        <w:t>圖</w:t>
      </w:r>
      <w:r w:rsidRPr="0053422F">
        <w:rPr>
          <w:rFonts w:asciiTheme="majorHAnsi" w:eastAsia="微軟正黑體" w:hAnsiTheme="majorHAnsi" w:cs="新細明體"/>
          <w:color w:val="000000"/>
          <w:spacing w:val="15"/>
          <w:kern w:val="0"/>
          <w:szCs w:val="24"/>
        </w:rPr>
        <w:t xml:space="preserve">3. </w:t>
      </w:r>
      <w:r w:rsidRPr="0053422F">
        <w:rPr>
          <w:rFonts w:asciiTheme="majorHAnsi" w:eastAsia="微軟正黑體" w:hAnsiTheme="majorHAnsi" w:cs="新細明體"/>
          <w:color w:val="000000"/>
          <w:spacing w:val="15"/>
          <w:kern w:val="0"/>
          <w:szCs w:val="24"/>
        </w:rPr>
        <w:t>鼎泰豐首次與工研院合作，引進可見光通訊技術，透過室內光源發送的位置資料，服務人員配戴收發模組，藉由接收光源資料並經</w:t>
      </w:r>
      <w:r w:rsidRPr="0053422F">
        <w:rPr>
          <w:rFonts w:asciiTheme="majorHAnsi" w:eastAsia="微軟正黑體" w:hAnsiTheme="majorHAnsi" w:cs="新細明體"/>
          <w:color w:val="000000"/>
          <w:spacing w:val="15"/>
          <w:kern w:val="0"/>
          <w:szCs w:val="24"/>
        </w:rPr>
        <w:t>RF</w:t>
      </w:r>
      <w:r w:rsidRPr="0053422F">
        <w:rPr>
          <w:rFonts w:asciiTheme="majorHAnsi" w:eastAsia="微軟正黑體" w:hAnsiTheme="majorHAnsi" w:cs="新細明體"/>
          <w:color w:val="000000"/>
          <w:spacing w:val="15"/>
          <w:kern w:val="0"/>
          <w:szCs w:val="24"/>
        </w:rPr>
        <w:t>回傳目前人員所在位置，透過後端管理平台，計算人員軌跡，掌握服務人員的分配位置，提供人員調度參考。</w:t>
      </w:r>
      <w:r w:rsidRPr="0053422F">
        <w:rPr>
          <w:rFonts w:asciiTheme="majorHAnsi" w:eastAsia="微軟正黑體" w:hAnsiTheme="majorHAnsi" w:cs="新細明體"/>
          <w:color w:val="000000"/>
          <w:spacing w:val="15"/>
          <w:kern w:val="0"/>
          <w:szCs w:val="24"/>
        </w:rPr>
        <w:br/>
      </w:r>
      <w:r w:rsidRPr="0053422F">
        <w:rPr>
          <w:rFonts w:asciiTheme="majorHAnsi" w:eastAsia="微軟正黑體" w:hAnsiTheme="majorHAnsi" w:cs="新細明體"/>
          <w:color w:val="000000"/>
          <w:spacing w:val="15"/>
          <w:kern w:val="0"/>
          <w:szCs w:val="24"/>
        </w:rPr>
        <w:br/>
      </w:r>
      <w:r w:rsidRPr="0053422F">
        <w:rPr>
          <w:rFonts w:asciiTheme="majorHAnsi" w:eastAsia="微軟正黑體" w:hAnsiTheme="majorHAnsi" w:cs="新細明體"/>
          <w:noProof/>
          <w:color w:val="000000"/>
          <w:spacing w:val="15"/>
          <w:kern w:val="0"/>
          <w:szCs w:val="24"/>
        </w:rPr>
        <w:lastRenderedPageBreak/>
        <w:drawing>
          <wp:inline distT="0" distB="0" distL="0" distR="0" wp14:anchorId="3CBC87E3" wp14:editId="27B5E842">
            <wp:extent cx="5443268" cy="3628845"/>
            <wp:effectExtent l="0" t="0" r="5080" b="0"/>
            <wp:docPr id="1" name="圖片 1" descr="Photo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050" cy="36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22F">
        <w:rPr>
          <w:rFonts w:asciiTheme="majorHAnsi" w:eastAsia="微軟正黑體" w:hAnsiTheme="majorHAnsi" w:cs="新細明體"/>
          <w:color w:val="000000"/>
          <w:spacing w:val="15"/>
          <w:kern w:val="0"/>
          <w:szCs w:val="24"/>
        </w:rPr>
        <w:br/>
      </w:r>
      <w:r w:rsidRPr="0053422F">
        <w:rPr>
          <w:rFonts w:asciiTheme="majorHAnsi" w:eastAsia="微軟正黑體" w:hAnsiTheme="majorHAnsi" w:cs="新細明體"/>
          <w:color w:val="000000"/>
          <w:spacing w:val="15"/>
          <w:kern w:val="0"/>
          <w:szCs w:val="24"/>
        </w:rPr>
        <w:t>圖</w:t>
      </w:r>
      <w:r w:rsidRPr="0053422F">
        <w:rPr>
          <w:rFonts w:asciiTheme="majorHAnsi" w:eastAsia="微軟正黑體" w:hAnsiTheme="majorHAnsi" w:cs="新細明體"/>
          <w:color w:val="000000"/>
          <w:spacing w:val="15"/>
          <w:kern w:val="0"/>
          <w:szCs w:val="24"/>
        </w:rPr>
        <w:t xml:space="preserve">4. </w:t>
      </w:r>
      <w:r w:rsidRPr="0053422F">
        <w:rPr>
          <w:rFonts w:asciiTheme="majorHAnsi" w:eastAsia="微軟正黑體" w:hAnsiTheme="majorHAnsi" w:cs="新細明體"/>
          <w:color w:val="000000"/>
          <w:spacing w:val="15"/>
          <w:kern w:val="0"/>
          <w:szCs w:val="24"/>
        </w:rPr>
        <w:t>經濟部沈榮津次長、工業局吳明機局長亦於</w:t>
      </w:r>
      <w:r w:rsidRPr="0053422F">
        <w:rPr>
          <w:rFonts w:asciiTheme="majorHAnsi" w:eastAsia="微軟正黑體" w:hAnsiTheme="majorHAnsi" w:cs="新細明體"/>
          <w:color w:val="000000"/>
          <w:spacing w:val="15"/>
          <w:kern w:val="0"/>
          <w:szCs w:val="24"/>
        </w:rPr>
        <w:t>20</w:t>
      </w:r>
      <w:r w:rsidRPr="0053422F">
        <w:rPr>
          <w:rFonts w:asciiTheme="majorHAnsi" w:eastAsia="微軟正黑體" w:hAnsiTheme="majorHAnsi" w:cs="新細明體"/>
          <w:color w:val="000000"/>
          <w:spacing w:val="15"/>
          <w:kern w:val="0"/>
          <w:szCs w:val="24"/>
        </w:rPr>
        <w:t>日上午參訪「智慧城市應用探索館」。</w:t>
      </w:r>
    </w:p>
    <w:p w:rsidR="00FA0144" w:rsidRPr="0053422F" w:rsidRDefault="00FA0144" w:rsidP="0053422F">
      <w:pPr>
        <w:snapToGrid w:val="0"/>
        <w:rPr>
          <w:rFonts w:asciiTheme="majorHAnsi" w:eastAsia="微軟正黑體" w:hAnsiTheme="majorHAnsi"/>
        </w:rPr>
      </w:pPr>
    </w:p>
    <w:sectPr w:rsidR="00FA0144" w:rsidRPr="0053422F" w:rsidSect="0053422F">
      <w:pgSz w:w="11906" w:h="16838"/>
      <w:pgMar w:top="1440" w:right="1644" w:bottom="1440" w:left="164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2F"/>
    <w:rsid w:val="00485F1A"/>
    <w:rsid w:val="0053422F"/>
    <w:rsid w:val="006720BF"/>
    <w:rsid w:val="00FA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342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34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3422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342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34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342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4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730">
          <w:marLeft w:val="3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026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6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7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1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51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unications.org.tw/upf/news/big/203.JP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communications.org.tw/upf/news/big/_JCP0108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mmunications.org.tw/upf/news/big/105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communications.org.tw/upf/news/big/30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ITRI</dc:creator>
  <cp:lastModifiedBy>ITRI</cp:lastModifiedBy>
  <cp:revision>1</cp:revision>
  <dcterms:created xsi:type="dcterms:W3CDTF">2015-02-04T03:36:00Z</dcterms:created>
  <dcterms:modified xsi:type="dcterms:W3CDTF">2015-02-04T04:12:00Z</dcterms:modified>
</cp:coreProperties>
</file>